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 (Web)"/>
        <w:spacing w:before="0" w:after="0" w:line="480" w:lineRule="auto"/>
        <w:rPr>
          <w:color w:val="000000"/>
          <w:u w:color="000000"/>
        </w:rPr>
      </w:pPr>
    </w:p>
    <w:p>
      <w:pPr>
        <w:pStyle w:val="Normal (Web)"/>
        <w:spacing w:before="0" w:after="0" w:line="480" w:lineRule="auto"/>
        <w:jc w:val="center"/>
        <w:rPr>
          <w:color w:val="000000"/>
          <w:u w:color="000000"/>
        </w:rPr>
      </w:pPr>
    </w:p>
    <w:p>
      <w:pPr>
        <w:pStyle w:val="Normal (Web)"/>
        <w:spacing w:before="0" w:after="0" w:line="480" w:lineRule="auto"/>
        <w:jc w:val="center"/>
        <w:rPr>
          <w:color w:val="000000"/>
          <w:u w:color="000000"/>
        </w:rPr>
      </w:pPr>
    </w:p>
    <w:p>
      <w:pPr>
        <w:pStyle w:val="Normal (Web)"/>
        <w:spacing w:before="0" w:after="0" w:line="480" w:lineRule="auto"/>
        <w:jc w:val="center"/>
        <w:rPr>
          <w:color w:val="000000"/>
          <w:u w:color="000000"/>
        </w:rPr>
      </w:pPr>
    </w:p>
    <w:p>
      <w:pPr>
        <w:pStyle w:val="Normal (Web)"/>
        <w:spacing w:line="480" w:lineRule="auto"/>
        <w:jc w:val="center"/>
        <w:rPr>
          <w:color w:val="000000"/>
          <w:u w:color="000000"/>
        </w:rPr>
      </w:pPr>
      <w:r>
        <w:rPr>
          <w:color w:val="000000"/>
          <w:u w:color="000000"/>
          <w:rtl w:val="0"/>
          <w:lang w:val="en-US"/>
        </w:rPr>
        <w:t>Walmart Strategic Priorities and Behavior</w:t>
      </w:r>
    </w:p>
    <w:p>
      <w:pPr>
        <w:pStyle w:val="Normal (Web)"/>
        <w:spacing w:before="0" w:after="0" w:line="480" w:lineRule="auto"/>
        <w:jc w:val="center"/>
        <w:rPr>
          <w:color w:val="000000"/>
          <w:u w:color="000000"/>
        </w:rPr>
      </w:pPr>
    </w:p>
    <w:p>
      <w:pPr>
        <w:pStyle w:val="Normal (Web)"/>
        <w:spacing w:before="0" w:after="0" w:line="480" w:lineRule="auto"/>
        <w:rPr>
          <w:color w:val="000000"/>
          <w:u w:color="000000"/>
        </w:rPr>
      </w:pPr>
    </w:p>
    <w:p>
      <w:pPr>
        <w:pStyle w:val="Normal (Web)"/>
        <w:spacing w:before="0" w:after="0" w:line="480" w:lineRule="auto"/>
        <w:jc w:val="center"/>
        <w:rPr>
          <w:b w:val="1"/>
          <w:bCs w:val="1"/>
          <w:color w:val="000000"/>
          <w:u w:color="000000"/>
        </w:rPr>
      </w:pPr>
    </w:p>
    <w:p>
      <w:pPr>
        <w:pStyle w:val="Normal (Web)"/>
        <w:spacing w:before="0" w:after="0" w:line="480" w:lineRule="auto"/>
        <w:jc w:val="center"/>
        <w:rPr>
          <w:b w:val="1"/>
          <w:bCs w:val="1"/>
          <w:color w:val="000000"/>
          <w:u w:color="000000"/>
        </w:rPr>
      </w:pPr>
    </w:p>
    <w:p>
      <w:pPr>
        <w:pStyle w:val="Normal (Web)"/>
        <w:spacing w:before="0" w:after="0" w:line="480" w:lineRule="auto"/>
        <w:jc w:val="center"/>
        <w:rPr>
          <w:b w:val="1"/>
          <w:bCs w:val="1"/>
          <w:color w:val="000000"/>
          <w:u w:color="000000"/>
        </w:rPr>
      </w:pPr>
    </w:p>
    <w:p>
      <w:pPr>
        <w:pStyle w:val="Normal (Web)"/>
        <w:spacing w:before="0" w:after="0" w:line="480" w:lineRule="auto"/>
        <w:jc w:val="center"/>
        <w:rPr>
          <w:b w:val="1"/>
          <w:bCs w:val="1"/>
          <w:color w:val="000000"/>
          <w:u w:color="000000"/>
        </w:rPr>
      </w:pPr>
    </w:p>
    <w:p>
      <w:pPr>
        <w:pStyle w:val="Normal (Web)"/>
        <w:spacing w:before="0" w:after="0" w:line="480" w:lineRule="auto"/>
        <w:jc w:val="center"/>
        <w:rPr>
          <w:b w:val="1"/>
          <w:bCs w:val="1"/>
          <w:color w:val="000000"/>
          <w:u w:color="000000"/>
        </w:rPr>
      </w:pPr>
    </w:p>
    <w:p>
      <w:pPr>
        <w:pStyle w:val="Normal (Web)"/>
        <w:spacing w:before="0" w:after="0" w:line="480" w:lineRule="auto"/>
        <w:jc w:val="center"/>
        <w:rPr>
          <w:b w:val="1"/>
          <w:bCs w:val="1"/>
          <w:color w:val="000000"/>
          <w:u w:color="000000"/>
        </w:rPr>
      </w:pPr>
    </w:p>
    <w:p>
      <w:pPr>
        <w:pStyle w:val="Normal (Web)"/>
        <w:spacing w:before="0" w:after="0" w:line="480" w:lineRule="auto"/>
        <w:jc w:val="center"/>
        <w:rPr>
          <w:b w:val="1"/>
          <w:bCs w:val="1"/>
          <w:color w:val="000000"/>
          <w:u w:color="000000"/>
        </w:rPr>
      </w:pPr>
    </w:p>
    <w:p>
      <w:pPr>
        <w:pStyle w:val="Normal (Web)"/>
        <w:spacing w:before="0" w:after="0" w:line="480" w:lineRule="auto"/>
        <w:jc w:val="center"/>
        <w:rPr>
          <w:b w:val="1"/>
          <w:bCs w:val="1"/>
          <w:color w:val="000000"/>
          <w:u w:color="000000"/>
        </w:rPr>
      </w:pPr>
    </w:p>
    <w:p>
      <w:pPr>
        <w:pStyle w:val="Normal (Web)"/>
        <w:spacing w:before="0" w:after="0" w:line="480" w:lineRule="auto"/>
        <w:jc w:val="center"/>
        <w:rPr>
          <w:b w:val="1"/>
          <w:bCs w:val="1"/>
          <w:color w:val="000000"/>
          <w:u w:color="000000"/>
        </w:rPr>
      </w:pPr>
    </w:p>
    <w:p>
      <w:pPr>
        <w:pStyle w:val="Normal (Web)"/>
        <w:spacing w:before="0" w:after="0" w:line="480" w:lineRule="auto"/>
        <w:jc w:val="center"/>
        <w:rPr>
          <w:b w:val="1"/>
          <w:bCs w:val="1"/>
          <w:color w:val="000000"/>
          <w:u w:color="000000"/>
        </w:rPr>
      </w:pPr>
    </w:p>
    <w:p>
      <w:pPr>
        <w:pStyle w:val="Normal (Web)"/>
        <w:spacing w:before="0" w:after="0" w:line="480" w:lineRule="auto"/>
        <w:jc w:val="center"/>
        <w:rPr>
          <w:b w:val="1"/>
          <w:bCs w:val="1"/>
          <w:color w:val="000000"/>
          <w:u w:color="000000"/>
        </w:rPr>
      </w:pPr>
    </w:p>
    <w:p>
      <w:pPr>
        <w:pStyle w:val="Normal (Web)"/>
        <w:spacing w:before="0" w:after="0" w:line="480" w:lineRule="auto"/>
        <w:jc w:val="center"/>
        <w:rPr>
          <w:b w:val="1"/>
          <w:bCs w:val="1"/>
          <w:color w:val="000000"/>
          <w:u w:color="000000"/>
        </w:rPr>
      </w:pPr>
    </w:p>
    <w:p>
      <w:pPr>
        <w:pStyle w:val="Normal (Web)"/>
        <w:spacing w:before="0" w:after="0" w:line="480" w:lineRule="auto"/>
        <w:jc w:val="center"/>
        <w:rPr>
          <w:b w:val="1"/>
          <w:bCs w:val="1"/>
          <w:color w:val="000000"/>
          <w:u w:color="000000"/>
        </w:rPr>
      </w:pPr>
    </w:p>
    <w:p>
      <w:pPr>
        <w:pStyle w:val="Normal (Web)"/>
        <w:spacing w:before="0" w:after="0" w:line="480" w:lineRule="auto"/>
        <w:rPr>
          <w:color w:val="000000"/>
          <w:u w:color="000000"/>
        </w:rPr>
      </w:pPr>
      <w:r>
        <w:rPr>
          <w:color w:val="000000"/>
          <w:u w:color="000000"/>
          <w:rtl w:val="0"/>
        </w:rPr>
        <w:tab/>
        <w:t xml:space="preserve"> </w:t>
      </w:r>
    </w:p>
    <w:p>
      <w:pPr>
        <w:pStyle w:val="Normal (Web)"/>
        <w:spacing w:before="0" w:after="0" w:line="480" w:lineRule="auto"/>
        <w:rPr>
          <w:color w:val="000000"/>
          <w:u w:color="000000"/>
        </w:rPr>
      </w:pPr>
    </w:p>
    <w:p>
      <w:pPr>
        <w:pStyle w:val="Normal (Web)"/>
        <w:spacing w:before="0" w:after="0" w:line="480" w:lineRule="auto"/>
        <w:jc w:val="center"/>
        <w:rPr>
          <w:color w:val="000000"/>
          <w:u w:color="000000"/>
        </w:rPr>
      </w:pPr>
      <w:r>
        <w:rPr>
          <w:color w:val="000000"/>
          <w:u w:color="000000"/>
          <w:rtl w:val="0"/>
          <w:lang w:val="en-US"/>
        </w:rPr>
        <w:t>Walmart Strategic Priorities and Behavior</w:t>
      </w:r>
    </w:p>
    <w:p>
      <w:pPr>
        <w:pStyle w:val="Normal (Web)"/>
        <w:spacing w:before="0" w:after="0" w:line="480" w:lineRule="auto"/>
        <w:ind w:firstLine="720"/>
        <w:rPr>
          <w:b w:val="1"/>
          <w:bCs w:val="1"/>
          <w:color w:val="000000"/>
          <w:u w:color="000000"/>
        </w:rPr>
      </w:pPr>
      <w:r>
        <w:rPr>
          <w:b w:val="1"/>
          <w:bCs w:val="1"/>
          <w:color w:val="000000"/>
          <w:u w:color="000000"/>
          <w:rtl w:val="0"/>
          <w:lang w:val="en-US"/>
        </w:rPr>
        <w:t>Success and Risk Factors</w:t>
      </w:r>
    </w:p>
    <w:p>
      <w:pPr>
        <w:pStyle w:val="Normal (Web)"/>
        <w:spacing w:before="0" w:after="0" w:line="480" w:lineRule="auto"/>
        <w:ind w:firstLine="720"/>
        <w:jc w:val="both"/>
        <w:rPr>
          <w:color w:val="000000"/>
          <w:u w:color="000000"/>
        </w:rPr>
      </w:pPr>
      <w:r>
        <w:rPr>
          <w:color w:val="000000"/>
          <w:u w:color="000000"/>
          <w:rtl w:val="0"/>
          <w:lang w:val="en-US"/>
        </w:rPr>
        <w:t>The major success factors for Walmart</w:t>
      </w:r>
      <w:r>
        <w:rPr>
          <w:color w:val="000000"/>
          <w:u w:color="000000"/>
          <w:rtl w:val="0"/>
          <w:lang w:val="en-US"/>
        </w:rPr>
        <w:t>’</w:t>
      </w:r>
      <w:r>
        <w:rPr>
          <w:color w:val="000000"/>
          <w:u w:color="000000"/>
          <w:rtl w:val="0"/>
          <w:lang w:val="en-US"/>
        </w:rPr>
        <w:t xml:space="preserve">s financial heath and performance and competitive advantage are economies of scale and the use of advanced information technology systems. Like other successful retail stores, Walmart invests more in technological systems, which have improved its inventory control, logistics and distribution. Also, due to the large economies of scale, Walmart has a chain of stores all over U.S and other parts of the world, which increases its inventory turnover and hence higher profit earnings. </w:t>
      </w:r>
    </w:p>
    <w:p>
      <w:pPr>
        <w:pStyle w:val="Normal (Web)"/>
        <w:spacing w:before="0" w:after="0" w:line="480" w:lineRule="auto"/>
        <w:ind w:firstLine="720"/>
        <w:jc w:val="both"/>
        <w:rPr>
          <w:color w:val="000000"/>
          <w:u w:color="000000"/>
        </w:rPr>
      </w:pPr>
      <w:r>
        <w:rPr>
          <w:color w:val="000000"/>
          <w:u w:color="000000"/>
          <w:rtl w:val="0"/>
          <w:lang w:val="en-US"/>
        </w:rPr>
        <w:t>The major risk factors for Walmart</w:t>
      </w:r>
      <w:r>
        <w:rPr>
          <w:color w:val="000000"/>
          <w:u w:color="000000"/>
          <w:rtl w:val="0"/>
          <w:lang w:val="en-US"/>
        </w:rPr>
        <w:t>’</w:t>
      </w:r>
      <w:r>
        <w:rPr>
          <w:color w:val="000000"/>
          <w:u w:color="000000"/>
          <w:rtl w:val="0"/>
          <w:lang w:val="en-US"/>
        </w:rPr>
        <w:t>s current and future performance include relatively costs (prices) for its products and opening several retail outlets close to each other. By selling products at a lower price to attract more customers and increase their inventory turnover, Walmart has to significantly lower input costs, which include paying employees lower wages compared to other retail stores. However, the increasing pressures to raise the minimum wages to about $15 dollars per hour will affect the company negatively because it will have to increase the employees</w:t>
      </w:r>
      <w:r>
        <w:rPr>
          <w:color w:val="000000"/>
          <w:u w:color="000000"/>
          <w:rtl w:val="0"/>
          <w:lang w:val="en-US"/>
        </w:rPr>
        <w:t xml:space="preserve">’ </w:t>
      </w:r>
      <w:r>
        <w:rPr>
          <w:color w:val="000000"/>
          <w:u w:color="000000"/>
          <w:rtl w:val="0"/>
          <w:lang w:val="en-US"/>
        </w:rPr>
        <w:t>salaries or experience high employee turnover. Additionally, Walmart</w:t>
      </w:r>
      <w:r>
        <w:rPr>
          <w:color w:val="000000"/>
          <w:u w:color="000000"/>
          <w:rtl w:val="0"/>
          <w:lang w:val="en-US"/>
        </w:rPr>
        <w:t>’</w:t>
      </w:r>
      <w:r>
        <w:rPr>
          <w:color w:val="000000"/>
          <w:u w:color="000000"/>
          <w:rtl w:val="0"/>
          <w:lang w:val="en-US"/>
        </w:rPr>
        <w:t>s expansion strategy involves setting many retail stores close to each other. This may limit growth and market share because the retail stores will potentially cannibalize each other and reduce company</w:t>
      </w:r>
      <w:r>
        <w:rPr>
          <w:color w:val="000000"/>
          <w:u w:color="000000"/>
          <w:rtl w:val="0"/>
          <w:lang w:val="en-US"/>
        </w:rPr>
        <w:t>’</w:t>
      </w:r>
      <w:r>
        <w:rPr>
          <w:color w:val="000000"/>
          <w:u w:color="000000"/>
          <w:rtl w:val="0"/>
          <w:lang w:val="en-US"/>
        </w:rPr>
        <w:t xml:space="preserve">s returns on investment. </w:t>
      </w:r>
    </w:p>
    <w:p>
      <w:pPr>
        <w:pStyle w:val="Normal (Web)"/>
        <w:spacing w:before="0" w:after="0" w:line="480" w:lineRule="auto"/>
        <w:ind w:firstLine="720"/>
        <w:jc w:val="both"/>
        <w:rPr>
          <w:color w:val="000000"/>
          <w:u w:color="000000"/>
        </w:rPr>
      </w:pPr>
      <w:r>
        <w:rPr>
          <w:color w:val="000000"/>
          <w:u w:color="000000"/>
          <w:rtl w:val="0"/>
          <w:lang w:val="en-US"/>
        </w:rPr>
        <w:t>Although Walmart</w:t>
      </w:r>
      <w:r>
        <w:rPr>
          <w:color w:val="000000"/>
          <w:u w:color="000000"/>
          <w:rtl w:val="0"/>
          <w:lang w:val="en-US"/>
        </w:rPr>
        <w:t>’</w:t>
      </w:r>
      <w:r>
        <w:rPr>
          <w:color w:val="000000"/>
          <w:u w:color="000000"/>
          <w:rtl w:val="0"/>
          <w:lang w:val="en-US"/>
        </w:rPr>
        <w:t xml:space="preserve">s management invests more in information technology to ensure flawless and efficient operations, the management seems to be more growth oriented because they focus more on establishing subsidiaries in both local and overseas markets. Walmart responds proactively to both internal and external risks inherent in their operations. For instance, the company closed 259 retail stores with poor financial performance of which 154 were U.S based as a strategy to reduce costs of production and increase their focus on e-commerce business.     </w:t>
      </w:r>
    </w:p>
    <w:p>
      <w:pPr>
        <w:pStyle w:val="Normal (Web)"/>
        <w:spacing w:before="0" w:after="0" w:line="480" w:lineRule="auto"/>
        <w:ind w:firstLine="720"/>
        <w:rPr>
          <w:b w:val="1"/>
          <w:bCs w:val="1"/>
          <w:color w:val="000000"/>
          <w:u w:color="000000"/>
        </w:rPr>
      </w:pPr>
      <w:r>
        <w:rPr>
          <w:b w:val="1"/>
          <w:bCs w:val="1"/>
          <w:color w:val="000000"/>
          <w:u w:color="000000"/>
          <w:rtl w:val="0"/>
          <w:lang w:val="en-US"/>
        </w:rPr>
        <w:t>How Walmart can better capitalize on non-financial factors</w:t>
      </w:r>
    </w:p>
    <w:p>
      <w:pPr>
        <w:pStyle w:val="Normal (Web)"/>
        <w:spacing w:before="0" w:after="0" w:line="480" w:lineRule="auto"/>
        <w:ind w:firstLine="720"/>
        <w:jc w:val="both"/>
        <w:rPr>
          <w:color w:val="000000"/>
          <w:u w:color="000000"/>
        </w:rPr>
      </w:pPr>
      <w:r>
        <w:rPr>
          <w:color w:val="000000"/>
          <w:u w:color="000000"/>
          <w:rtl w:val="0"/>
          <w:lang w:val="en-US"/>
        </w:rPr>
        <w:t xml:space="preserve">The retail industry market in U.S is saturated and thus highly competitive. The retail market is U.S is dominated by Target Corp, Costco Wholesale Corp, Amazon and other retail giants that offer stiff competition in terms of market outreach and skilled workforce. Thus, Walmart can capitalize on market share by making additional investment in overseas markets especially in developing countries through francizing or setting up subsidiaries. The company can also capitalize on reputation by motivating and encouraging their employees to offer quality services to customers to win their loyalty.        </w:t>
      </w:r>
    </w:p>
    <w:p>
      <w:pPr>
        <w:pStyle w:val="Normal (Web)"/>
        <w:spacing w:before="0" w:after="0" w:line="480" w:lineRule="auto"/>
        <w:ind w:firstLine="720"/>
        <w:jc w:val="both"/>
        <w:rPr>
          <w:color w:val="000000"/>
          <w:u w:color="000000"/>
        </w:rPr>
      </w:pPr>
      <w:r>
        <w:rPr>
          <w:color w:val="000000"/>
          <w:u w:color="000000"/>
          <w:rtl w:val="0"/>
          <w:lang w:val="en-US"/>
        </w:rPr>
        <w:t>The most significance internal risk to Walmart</w:t>
      </w:r>
      <w:r>
        <w:rPr>
          <w:color w:val="000000"/>
          <w:u w:color="000000"/>
          <w:rtl w:val="0"/>
          <w:lang w:val="en-US"/>
        </w:rPr>
        <w:t>’</w:t>
      </w:r>
      <w:r>
        <w:rPr>
          <w:color w:val="000000"/>
          <w:u w:color="000000"/>
          <w:rtl w:val="0"/>
          <w:lang w:val="en-US"/>
        </w:rPr>
        <w:t>s financial performance is the high potential of loss of talented personnel. Walmart sells its products at the lowest cost compared to other retail stores to increase their customer base and they are therefore forced to reduce input costs including costs of labor to meet other operating expenses. Also, employees at Walmart serve a high influx of customers and work for longer shifts to meet the customers</w:t>
      </w:r>
      <w:r>
        <w:rPr>
          <w:color w:val="000000"/>
          <w:u w:color="000000"/>
          <w:rtl w:val="0"/>
          <w:lang w:val="en-US"/>
        </w:rPr>
        <w:t xml:space="preserve">’ </w:t>
      </w:r>
      <w:r>
        <w:rPr>
          <w:color w:val="000000"/>
          <w:u w:color="000000"/>
          <w:rtl w:val="0"/>
          <w:lang w:val="en-US"/>
        </w:rPr>
        <w:t xml:space="preserve">demand. Both of these factors, lower pay and poor work-life balance result to increased employee turnover at Walmart leading to loss of skilled personnel and increased costs for additionally hiring and onboarding.           </w:t>
      </w:r>
    </w:p>
    <w:p>
      <w:pPr>
        <w:pStyle w:val="Normal (Web)"/>
        <w:spacing w:before="0" w:after="0" w:line="480" w:lineRule="auto"/>
        <w:rPr>
          <w:b w:val="1"/>
          <w:bCs w:val="1"/>
          <w:color w:val="000000"/>
          <w:u w:color="000000"/>
        </w:rPr>
      </w:pPr>
      <w:r>
        <w:rPr>
          <w:b w:val="1"/>
          <w:bCs w:val="1"/>
          <w:color w:val="000000"/>
          <w:u w:color="000000"/>
          <w:rtl w:val="0"/>
        </w:rPr>
        <w:tab/>
        <w:t>Projection of Walmart</w:t>
      </w:r>
      <w:r>
        <w:rPr>
          <w:b w:val="1"/>
          <w:bCs w:val="1"/>
          <w:color w:val="000000"/>
          <w:u w:color="000000"/>
          <w:rtl w:val="0"/>
          <w:lang w:val="en-US"/>
        </w:rPr>
        <w:t>’</w:t>
      </w:r>
      <w:r>
        <w:rPr>
          <w:b w:val="1"/>
          <w:bCs w:val="1"/>
          <w:color w:val="000000"/>
          <w:u w:color="000000"/>
          <w:rtl w:val="0"/>
          <w:lang w:val="en-US"/>
        </w:rPr>
        <w:t>s future performance.</w:t>
      </w:r>
    </w:p>
    <w:p>
      <w:pPr>
        <w:pStyle w:val="Normal (Web)"/>
        <w:spacing w:before="0" w:after="0" w:line="480" w:lineRule="auto"/>
        <w:jc w:val="both"/>
        <w:rPr>
          <w:color w:val="000000"/>
          <w:u w:color="000000"/>
        </w:rPr>
      </w:pPr>
      <w:r>
        <w:rPr>
          <w:color w:val="000000"/>
          <w:u w:color="000000"/>
          <w:rtl w:val="0"/>
        </w:rPr>
        <w:tab/>
        <w:t>Walmart</w:t>
      </w:r>
      <w:r>
        <w:rPr>
          <w:color w:val="000000"/>
          <w:u w:color="000000"/>
          <w:rtl w:val="0"/>
          <w:lang w:val="en-US"/>
        </w:rPr>
        <w:t>’</w:t>
      </w:r>
      <w:r>
        <w:rPr>
          <w:color w:val="000000"/>
          <w:u w:color="000000"/>
          <w:rtl w:val="0"/>
          <w:lang w:val="en-US"/>
        </w:rPr>
        <w:t>s aggregate financial performance has increased invariably for the last ten years, between 2006 and 2016. For instance, the company</w:t>
      </w:r>
      <w:r>
        <w:rPr>
          <w:color w:val="000000"/>
          <w:u w:color="000000"/>
          <w:rtl w:val="0"/>
          <w:lang w:val="en-US"/>
        </w:rPr>
        <w:t>’</w:t>
      </w:r>
      <w:r>
        <w:rPr>
          <w:color w:val="000000"/>
          <w:u w:color="000000"/>
          <w:rtl w:val="0"/>
          <w:lang w:val="en-US"/>
        </w:rPr>
        <w:t>s net revenues increased consistently from $308 billion in 2006 FY to 478 in the 2016 FY as shown in the following graph.</w:t>
      </w:r>
    </w:p>
    <w:p>
      <w:pPr>
        <w:pStyle w:val="Normal (Web)"/>
        <w:spacing w:before="0" w:after="0" w:line="480" w:lineRule="auto"/>
        <w:jc w:val="both"/>
        <w:rPr>
          <w:color w:val="000000"/>
          <w:u w:color="000000"/>
        </w:rPr>
      </w:pPr>
    </w:p>
    <w:p>
      <w:pPr>
        <w:pStyle w:val="Normal (Web)"/>
        <w:spacing w:before="0" w:after="0" w:line="480" w:lineRule="auto"/>
        <w:jc w:val="both"/>
        <w:rPr>
          <w:color w:val="000000"/>
          <w:u w:color="000000"/>
        </w:rPr>
      </w:pPr>
    </w:p>
    <w:p>
      <w:pPr>
        <w:pStyle w:val="Normal (Web)"/>
        <w:spacing w:before="0" w:after="0" w:line="480" w:lineRule="auto"/>
        <w:jc w:val="both"/>
        <w:rPr>
          <w:i w:val="1"/>
          <w:iCs w:val="1"/>
          <w:color w:val="000000"/>
          <w:u w:color="000000"/>
        </w:rPr>
      </w:pPr>
      <w:r>
        <w:rPr>
          <w:i w:val="1"/>
          <w:iCs w:val="1"/>
          <w:color w:val="000000"/>
          <w:u w:color="000000"/>
          <w:rtl w:val="0"/>
          <w:lang w:val="en-US"/>
        </w:rPr>
        <w:t>Graph 1: Walmart</w:t>
      </w:r>
      <w:r>
        <w:rPr>
          <w:i w:val="1"/>
          <w:iCs w:val="1"/>
          <w:color w:val="000000"/>
          <w:u w:color="000000"/>
          <w:rtl w:val="0"/>
          <w:lang w:val="en-US"/>
        </w:rPr>
        <w:t>’</w:t>
      </w:r>
      <w:r>
        <w:rPr>
          <w:i w:val="1"/>
          <w:iCs w:val="1"/>
          <w:color w:val="000000"/>
          <w:u w:color="000000"/>
          <w:rtl w:val="0"/>
          <w:lang w:val="en-US"/>
        </w:rPr>
        <w:t>s Net Revenue between 2006 and 2016.</w:t>
      </w:r>
    </w:p>
    <w:p>
      <w:pPr>
        <w:pStyle w:val="Normal (Web)"/>
        <w:spacing w:before="0" w:after="0" w:line="480" w:lineRule="auto"/>
        <w:jc w:val="both"/>
        <w:rPr>
          <w:color w:val="000000"/>
          <w:u w:color="000000"/>
        </w:rPr>
      </w:pPr>
      <w:r>
        <w:drawing>
          <wp:inline distT="0" distB="0" distL="0" distR="0">
            <wp:extent cx="4649802" cy="2346950"/>
            <wp:effectExtent l="0" t="0" r="0" b="0"/>
            <wp:docPr id="1073741825" name="officeArt object"/>
            <wp:cNvGraphicFramePr/>
            <a:graphic xmlns:a="http://schemas.openxmlformats.org/drawingml/2006/main">
              <a:graphicData uri="http://schemas.openxmlformats.org/drawingml/2006/chart">
                <c:chart xmlns:c="http://schemas.openxmlformats.org/drawingml/2006/chart" r:id="rId4"/>
              </a:graphicData>
            </a:graphic>
          </wp:inline>
        </w:drawing>
      </w:r>
    </w:p>
    <w:p>
      <w:pPr>
        <w:pStyle w:val="Normal (Web)"/>
        <w:spacing w:before="0" w:after="0" w:line="480" w:lineRule="auto"/>
        <w:ind w:firstLine="720"/>
        <w:jc w:val="both"/>
        <w:rPr>
          <w:color w:val="000000"/>
          <w:u w:color="000000"/>
        </w:rPr>
      </w:pPr>
      <w:r>
        <w:rPr>
          <w:color w:val="000000"/>
          <w:u w:color="000000"/>
          <w:rtl w:val="0"/>
          <w:lang w:val="en-US"/>
        </w:rPr>
        <w:t>However, Walmart</w:t>
      </w:r>
      <w:r>
        <w:rPr>
          <w:color w:val="000000"/>
          <w:u w:color="000000"/>
          <w:rtl w:val="0"/>
          <w:lang w:val="en-US"/>
        </w:rPr>
        <w:t>’</w:t>
      </w:r>
      <w:r>
        <w:rPr>
          <w:color w:val="000000"/>
          <w:u w:color="000000"/>
          <w:rtl w:val="0"/>
          <w:lang w:val="en-US"/>
        </w:rPr>
        <w:t xml:space="preserve">s operating income and net profit deteriorated significantly between 2012 and 2016 due to higher marketing requirements to counteract competition. </w:t>
      </w:r>
    </w:p>
    <w:p>
      <w:pPr>
        <w:pStyle w:val="Normal (Web)"/>
        <w:spacing w:before="0" w:after="0" w:line="480" w:lineRule="auto"/>
        <w:jc w:val="both"/>
        <w:rPr>
          <w:color w:val="000000"/>
          <w:u w:color="000000"/>
        </w:rPr>
      </w:pPr>
      <w:r>
        <w:rPr>
          <w:i w:val="1"/>
          <w:iCs w:val="1"/>
          <w:color w:val="000000"/>
          <w:u w:color="000000"/>
          <w:rtl w:val="0"/>
          <w:lang w:val="en-US"/>
        </w:rPr>
        <w:t>Table 1: Walmart</w:t>
      </w:r>
      <w:r>
        <w:rPr>
          <w:i w:val="1"/>
          <w:iCs w:val="1"/>
          <w:color w:val="000000"/>
          <w:u w:color="000000"/>
          <w:rtl w:val="0"/>
          <w:lang w:val="en-US"/>
        </w:rPr>
        <w:t>’</w:t>
      </w:r>
      <w:r>
        <w:rPr>
          <w:i w:val="1"/>
          <w:iCs w:val="1"/>
          <w:color w:val="000000"/>
          <w:u w:color="000000"/>
          <w:rtl w:val="0"/>
          <w:lang w:val="en-US"/>
        </w:rPr>
        <w:t>s financial performance between 2012 and 2016</w:t>
      </w:r>
      <w:r>
        <w:rPr>
          <w:color w:val="000000"/>
          <w:u w:color="000000"/>
          <w:rtl w:val="0"/>
          <w:lang w:val="en-US"/>
        </w:rPr>
        <w:t xml:space="preserve">.     </w:t>
      </w:r>
    </w:p>
    <w:tbl>
      <w:tblPr>
        <w:tblW w:w="742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3049"/>
        <w:gridCol w:w="876"/>
        <w:gridCol w:w="876"/>
        <w:gridCol w:w="876"/>
        <w:gridCol w:w="876"/>
        <w:gridCol w:w="875"/>
      </w:tblGrid>
      <w:tr>
        <w:tblPrEx>
          <w:shd w:val="clear" w:color="auto" w:fill="d0ddef"/>
        </w:tblPrEx>
        <w:trPr>
          <w:trHeight w:val="300" w:hRule="atLeast"/>
        </w:trPr>
        <w:tc>
          <w:tcPr>
            <w:tcW w:type="dxa" w:w="3049"/>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top"/>
          </w:tcPr>
          <w:p/>
        </w:tc>
        <w:tc>
          <w:tcPr>
            <w:tcW w:type="dxa" w:w="876"/>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top"/>
          </w:tcPr>
          <w:p>
            <w:pPr>
              <w:pStyle w:val="Normal (Web)"/>
              <w:spacing w:before="0" w:after="0" w:line="480" w:lineRule="auto"/>
              <w:jc w:val="both"/>
            </w:pPr>
            <w:r>
              <w:rPr>
                <w:b w:val="1"/>
                <w:bCs w:val="1"/>
                <w:i w:val="1"/>
                <w:iCs w:val="1"/>
                <w:rtl w:val="0"/>
                <w:lang w:val="en-US"/>
              </w:rPr>
              <w:t>2012</w:t>
            </w:r>
          </w:p>
        </w:tc>
        <w:tc>
          <w:tcPr>
            <w:tcW w:type="dxa" w:w="876"/>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top"/>
          </w:tcPr>
          <w:p>
            <w:pPr>
              <w:pStyle w:val="Normal (Web)"/>
              <w:spacing w:before="0" w:after="0" w:line="480" w:lineRule="auto"/>
              <w:jc w:val="both"/>
            </w:pPr>
            <w:r>
              <w:rPr>
                <w:b w:val="1"/>
                <w:bCs w:val="1"/>
                <w:i w:val="1"/>
                <w:iCs w:val="1"/>
                <w:rtl w:val="0"/>
                <w:lang w:val="en-US"/>
              </w:rPr>
              <w:t>2013</w:t>
            </w:r>
          </w:p>
        </w:tc>
        <w:tc>
          <w:tcPr>
            <w:tcW w:type="dxa" w:w="876"/>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top"/>
          </w:tcPr>
          <w:p>
            <w:pPr>
              <w:pStyle w:val="Normal (Web)"/>
              <w:spacing w:before="0" w:after="0" w:line="480" w:lineRule="auto"/>
              <w:jc w:val="both"/>
            </w:pPr>
            <w:r>
              <w:rPr>
                <w:b w:val="1"/>
                <w:bCs w:val="1"/>
                <w:i w:val="1"/>
                <w:iCs w:val="1"/>
                <w:rtl w:val="0"/>
                <w:lang w:val="en-US"/>
              </w:rPr>
              <w:t>2014</w:t>
            </w:r>
          </w:p>
        </w:tc>
        <w:tc>
          <w:tcPr>
            <w:tcW w:type="dxa" w:w="876"/>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top"/>
          </w:tcPr>
          <w:p>
            <w:pPr>
              <w:pStyle w:val="Normal (Web)"/>
              <w:spacing w:before="0" w:after="0" w:line="480" w:lineRule="auto"/>
              <w:jc w:val="both"/>
            </w:pPr>
            <w:r>
              <w:rPr>
                <w:b w:val="1"/>
                <w:bCs w:val="1"/>
                <w:i w:val="1"/>
                <w:iCs w:val="1"/>
                <w:rtl w:val="0"/>
                <w:lang w:val="en-US"/>
              </w:rPr>
              <w:t>2015</w:t>
            </w:r>
          </w:p>
        </w:tc>
        <w:tc>
          <w:tcPr>
            <w:tcW w:type="dxa" w:w="875"/>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top"/>
          </w:tcPr>
          <w:p>
            <w:pPr>
              <w:pStyle w:val="Normal (Web)"/>
              <w:spacing w:before="0" w:after="0" w:line="480" w:lineRule="auto"/>
              <w:jc w:val="both"/>
            </w:pPr>
            <w:r>
              <w:rPr>
                <w:b w:val="1"/>
                <w:bCs w:val="1"/>
                <w:i w:val="1"/>
                <w:iCs w:val="1"/>
                <w:rtl w:val="0"/>
                <w:lang w:val="en-US"/>
              </w:rPr>
              <w:t>2016</w:t>
            </w:r>
          </w:p>
        </w:tc>
      </w:tr>
      <w:tr>
        <w:tblPrEx>
          <w:shd w:val="clear" w:color="auto" w:fill="d0ddef"/>
        </w:tblPrEx>
        <w:trPr>
          <w:trHeight w:val="300" w:hRule="atLeast"/>
        </w:trPr>
        <w:tc>
          <w:tcPr>
            <w:tcW w:type="dxa" w:w="3049"/>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top"/>
          </w:tcPr>
          <w:p>
            <w:pPr>
              <w:pStyle w:val="Normal (Web)"/>
              <w:spacing w:before="0" w:after="0" w:line="480" w:lineRule="auto"/>
              <w:jc w:val="both"/>
            </w:pPr>
            <w:r>
              <w:rPr>
                <w:i w:val="1"/>
                <w:iCs w:val="1"/>
                <w:rtl w:val="0"/>
                <w:lang w:val="en-US"/>
              </w:rPr>
              <w:t>Gross Margin %</w:t>
            </w:r>
          </w:p>
        </w:tc>
        <w:tc>
          <w:tcPr>
            <w:tcW w:type="dxa" w:w="876"/>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top"/>
          </w:tcPr>
          <w:p>
            <w:pPr>
              <w:pStyle w:val="Normal (Web)"/>
              <w:spacing w:before="0" w:after="0" w:line="480" w:lineRule="auto"/>
              <w:jc w:val="both"/>
            </w:pPr>
            <w:r>
              <w:rPr>
                <w:rtl w:val="0"/>
                <w:lang w:val="en-US"/>
              </w:rPr>
              <w:t>25.0</w:t>
            </w:r>
          </w:p>
        </w:tc>
        <w:tc>
          <w:tcPr>
            <w:tcW w:type="dxa" w:w="876"/>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top"/>
          </w:tcPr>
          <w:p>
            <w:pPr>
              <w:pStyle w:val="Normal (Web)"/>
              <w:spacing w:before="0" w:after="0" w:line="480" w:lineRule="auto"/>
              <w:jc w:val="both"/>
            </w:pPr>
            <w:r>
              <w:rPr>
                <w:rtl w:val="0"/>
                <w:lang w:val="en-US"/>
              </w:rPr>
              <w:t>24.8</w:t>
            </w:r>
          </w:p>
        </w:tc>
        <w:tc>
          <w:tcPr>
            <w:tcW w:type="dxa" w:w="876"/>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top"/>
          </w:tcPr>
          <w:p>
            <w:pPr>
              <w:pStyle w:val="Normal (Web)"/>
              <w:spacing w:before="0" w:after="0" w:line="480" w:lineRule="auto"/>
              <w:jc w:val="both"/>
            </w:pPr>
            <w:r>
              <w:rPr>
                <w:rtl w:val="0"/>
                <w:lang w:val="en-US"/>
              </w:rPr>
              <w:t>24.8</w:t>
            </w:r>
          </w:p>
        </w:tc>
        <w:tc>
          <w:tcPr>
            <w:tcW w:type="dxa" w:w="876"/>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top"/>
          </w:tcPr>
          <w:p>
            <w:pPr>
              <w:pStyle w:val="Normal (Web)"/>
              <w:spacing w:before="0" w:after="0" w:line="480" w:lineRule="auto"/>
              <w:jc w:val="both"/>
            </w:pPr>
            <w:r>
              <w:rPr>
                <w:rtl w:val="0"/>
                <w:lang w:val="en-US"/>
              </w:rPr>
              <w:t>28.8</w:t>
            </w:r>
          </w:p>
        </w:tc>
        <w:tc>
          <w:tcPr>
            <w:tcW w:type="dxa" w:w="875"/>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top"/>
          </w:tcPr>
          <w:p>
            <w:pPr>
              <w:pStyle w:val="Normal (Web)"/>
              <w:spacing w:before="0" w:after="0" w:line="480" w:lineRule="auto"/>
              <w:jc w:val="both"/>
            </w:pPr>
            <w:r>
              <w:rPr>
                <w:rtl w:val="0"/>
                <w:lang w:val="en-US"/>
              </w:rPr>
              <w:t>25.1</w:t>
            </w:r>
          </w:p>
        </w:tc>
      </w:tr>
      <w:tr>
        <w:tblPrEx>
          <w:shd w:val="clear" w:color="auto" w:fill="d0ddef"/>
        </w:tblPrEx>
        <w:trPr>
          <w:trHeight w:val="300" w:hRule="atLeast"/>
        </w:trPr>
        <w:tc>
          <w:tcPr>
            <w:tcW w:type="dxa" w:w="3049"/>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top"/>
          </w:tcPr>
          <w:p>
            <w:pPr>
              <w:pStyle w:val="Normal (Web)"/>
              <w:spacing w:before="0" w:after="0" w:line="480" w:lineRule="auto"/>
              <w:jc w:val="both"/>
            </w:pPr>
            <w:r>
              <w:rPr>
                <w:i w:val="1"/>
                <w:iCs w:val="1"/>
                <w:rtl w:val="0"/>
                <w:lang w:val="en-US"/>
              </w:rPr>
              <w:t>Operating Income (USD Mil)</w:t>
            </w:r>
          </w:p>
        </w:tc>
        <w:tc>
          <w:tcPr>
            <w:tcW w:type="dxa" w:w="876"/>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top"/>
          </w:tcPr>
          <w:p>
            <w:pPr>
              <w:pStyle w:val="Normal (Web)"/>
              <w:spacing w:before="0" w:after="0" w:line="480" w:lineRule="auto"/>
              <w:jc w:val="both"/>
            </w:pPr>
            <w:r>
              <w:rPr>
                <w:rtl w:val="0"/>
                <w:lang w:val="en-US"/>
              </w:rPr>
              <w:t>26,491</w:t>
            </w:r>
          </w:p>
        </w:tc>
        <w:tc>
          <w:tcPr>
            <w:tcW w:type="dxa" w:w="876"/>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top"/>
          </w:tcPr>
          <w:p>
            <w:pPr>
              <w:pStyle w:val="Normal (Web)"/>
              <w:spacing w:before="0" w:after="0" w:line="480" w:lineRule="auto"/>
              <w:jc w:val="both"/>
            </w:pPr>
            <w:r>
              <w:rPr>
                <w:rtl w:val="0"/>
                <w:lang w:val="en-US"/>
              </w:rPr>
              <w:t>27,725</w:t>
            </w:r>
          </w:p>
        </w:tc>
        <w:tc>
          <w:tcPr>
            <w:tcW w:type="dxa" w:w="876"/>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top"/>
          </w:tcPr>
          <w:p>
            <w:pPr>
              <w:pStyle w:val="Normal (Web)"/>
              <w:spacing w:before="0" w:after="0" w:line="480" w:lineRule="auto"/>
              <w:jc w:val="both"/>
            </w:pPr>
            <w:r>
              <w:rPr>
                <w:rtl w:val="0"/>
                <w:lang w:val="en-US"/>
              </w:rPr>
              <w:t>26,872</w:t>
            </w:r>
          </w:p>
        </w:tc>
        <w:tc>
          <w:tcPr>
            <w:tcW w:type="dxa" w:w="876"/>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top"/>
          </w:tcPr>
          <w:p>
            <w:pPr>
              <w:pStyle w:val="Normal (Web)"/>
              <w:spacing w:before="0" w:after="0" w:line="480" w:lineRule="auto"/>
              <w:jc w:val="both"/>
            </w:pPr>
            <w:r>
              <w:rPr>
                <w:rtl w:val="0"/>
                <w:lang w:val="en-US"/>
              </w:rPr>
              <w:t>27,147</w:t>
            </w:r>
          </w:p>
        </w:tc>
        <w:tc>
          <w:tcPr>
            <w:tcW w:type="dxa" w:w="875"/>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top"/>
          </w:tcPr>
          <w:p>
            <w:pPr>
              <w:pStyle w:val="Normal (Web)"/>
              <w:spacing w:before="0" w:after="0" w:line="480" w:lineRule="auto"/>
              <w:jc w:val="both"/>
            </w:pPr>
            <w:r>
              <w:rPr>
                <w:rtl w:val="0"/>
                <w:lang w:val="en-US"/>
              </w:rPr>
              <w:t>24,105</w:t>
            </w:r>
          </w:p>
        </w:tc>
      </w:tr>
      <w:tr>
        <w:tblPrEx>
          <w:shd w:val="clear" w:color="auto" w:fill="d0ddef"/>
        </w:tblPrEx>
        <w:trPr>
          <w:trHeight w:val="300" w:hRule="atLeast"/>
        </w:trPr>
        <w:tc>
          <w:tcPr>
            <w:tcW w:type="dxa" w:w="3049"/>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top"/>
          </w:tcPr>
          <w:p>
            <w:pPr>
              <w:pStyle w:val="Normal (Web)"/>
              <w:spacing w:before="0" w:after="0" w:line="480" w:lineRule="auto"/>
              <w:jc w:val="both"/>
            </w:pPr>
            <w:r>
              <w:rPr>
                <w:i w:val="1"/>
                <w:iCs w:val="1"/>
                <w:rtl w:val="0"/>
                <w:lang w:val="en-US"/>
              </w:rPr>
              <w:t>Operating Margin %</w:t>
            </w:r>
          </w:p>
        </w:tc>
        <w:tc>
          <w:tcPr>
            <w:tcW w:type="dxa" w:w="876"/>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top"/>
          </w:tcPr>
          <w:p>
            <w:pPr>
              <w:pStyle w:val="Normal (Web)"/>
              <w:spacing w:before="0" w:after="0" w:line="480" w:lineRule="auto"/>
              <w:jc w:val="both"/>
            </w:pPr>
            <w:r>
              <w:rPr>
                <w:rtl w:val="0"/>
                <w:lang w:val="en-US"/>
              </w:rPr>
              <w:t>5.9</w:t>
            </w:r>
          </w:p>
        </w:tc>
        <w:tc>
          <w:tcPr>
            <w:tcW w:type="dxa" w:w="876"/>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top"/>
          </w:tcPr>
          <w:p>
            <w:pPr>
              <w:pStyle w:val="Normal (Web)"/>
              <w:spacing w:before="0" w:after="0" w:line="480" w:lineRule="auto"/>
              <w:jc w:val="both"/>
            </w:pPr>
            <w:r>
              <w:rPr>
                <w:rtl w:val="0"/>
                <w:lang w:val="en-US"/>
              </w:rPr>
              <w:t>5.9</w:t>
            </w:r>
          </w:p>
        </w:tc>
        <w:tc>
          <w:tcPr>
            <w:tcW w:type="dxa" w:w="876"/>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top"/>
          </w:tcPr>
          <w:p>
            <w:pPr>
              <w:pStyle w:val="Normal (Web)"/>
              <w:spacing w:before="0" w:after="0" w:line="480" w:lineRule="auto"/>
              <w:jc w:val="both"/>
            </w:pPr>
            <w:r>
              <w:rPr>
                <w:rtl w:val="0"/>
                <w:lang w:val="en-US"/>
              </w:rPr>
              <w:t>5.6</w:t>
            </w:r>
          </w:p>
        </w:tc>
        <w:tc>
          <w:tcPr>
            <w:tcW w:type="dxa" w:w="876"/>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top"/>
          </w:tcPr>
          <w:p>
            <w:pPr>
              <w:pStyle w:val="Normal (Web)"/>
              <w:spacing w:before="0" w:after="0" w:line="480" w:lineRule="auto"/>
              <w:jc w:val="both"/>
            </w:pPr>
            <w:r>
              <w:rPr>
                <w:rtl w:val="0"/>
                <w:lang w:val="en-US"/>
              </w:rPr>
              <w:t>5.6</w:t>
            </w:r>
          </w:p>
        </w:tc>
        <w:tc>
          <w:tcPr>
            <w:tcW w:type="dxa" w:w="875"/>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top"/>
          </w:tcPr>
          <w:p>
            <w:pPr>
              <w:pStyle w:val="Normal (Web)"/>
              <w:spacing w:before="0" w:after="0" w:line="480" w:lineRule="auto"/>
              <w:jc w:val="both"/>
            </w:pPr>
            <w:r>
              <w:rPr>
                <w:rtl w:val="0"/>
                <w:lang w:val="en-US"/>
              </w:rPr>
              <w:t>5.1</w:t>
            </w:r>
          </w:p>
        </w:tc>
      </w:tr>
      <w:tr>
        <w:tblPrEx>
          <w:shd w:val="clear" w:color="auto" w:fill="d0ddef"/>
        </w:tblPrEx>
        <w:trPr>
          <w:trHeight w:val="300" w:hRule="atLeast"/>
        </w:trPr>
        <w:tc>
          <w:tcPr>
            <w:tcW w:type="dxa" w:w="3049"/>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top"/>
          </w:tcPr>
          <w:p>
            <w:pPr>
              <w:pStyle w:val="Normal (Web)"/>
              <w:spacing w:before="0" w:after="0" w:line="480" w:lineRule="auto"/>
              <w:jc w:val="both"/>
            </w:pPr>
            <w:r>
              <w:rPr>
                <w:i w:val="1"/>
                <w:iCs w:val="1"/>
                <w:rtl w:val="0"/>
                <w:lang w:val="en-US"/>
              </w:rPr>
              <w:t>Net Profit (USD Mil)</w:t>
            </w:r>
          </w:p>
        </w:tc>
        <w:tc>
          <w:tcPr>
            <w:tcW w:type="dxa" w:w="876"/>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top"/>
          </w:tcPr>
          <w:p>
            <w:pPr>
              <w:pStyle w:val="Normal (Web)"/>
              <w:spacing w:before="0" w:after="0" w:line="480" w:lineRule="auto"/>
              <w:jc w:val="both"/>
            </w:pPr>
            <w:r>
              <w:rPr>
                <w:rtl w:val="0"/>
                <w:lang w:val="en-US"/>
              </w:rPr>
              <w:t>15,699</w:t>
            </w:r>
          </w:p>
        </w:tc>
        <w:tc>
          <w:tcPr>
            <w:tcW w:type="dxa" w:w="876"/>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top"/>
          </w:tcPr>
          <w:p>
            <w:pPr>
              <w:pStyle w:val="Normal (Web)"/>
              <w:spacing w:before="0" w:after="0" w:line="480" w:lineRule="auto"/>
              <w:jc w:val="both"/>
            </w:pPr>
            <w:r>
              <w:rPr>
                <w:rtl w:val="0"/>
                <w:lang w:val="en-US"/>
              </w:rPr>
              <w:t>16,999</w:t>
            </w:r>
          </w:p>
        </w:tc>
        <w:tc>
          <w:tcPr>
            <w:tcW w:type="dxa" w:w="876"/>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top"/>
          </w:tcPr>
          <w:p>
            <w:pPr>
              <w:pStyle w:val="Normal (Web)"/>
              <w:spacing w:before="0" w:after="0" w:line="480" w:lineRule="auto"/>
              <w:jc w:val="both"/>
            </w:pPr>
            <w:r>
              <w:rPr>
                <w:rtl w:val="0"/>
                <w:lang w:val="en-US"/>
              </w:rPr>
              <w:t>16,022</w:t>
            </w:r>
          </w:p>
        </w:tc>
        <w:tc>
          <w:tcPr>
            <w:tcW w:type="dxa" w:w="876"/>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top"/>
          </w:tcPr>
          <w:p>
            <w:pPr>
              <w:pStyle w:val="Normal (Web)"/>
              <w:spacing w:before="0" w:after="0" w:line="480" w:lineRule="auto"/>
              <w:jc w:val="both"/>
            </w:pPr>
            <w:r>
              <w:rPr>
                <w:rtl w:val="0"/>
                <w:lang w:val="en-US"/>
              </w:rPr>
              <w:t>16,363</w:t>
            </w:r>
          </w:p>
        </w:tc>
        <w:tc>
          <w:tcPr>
            <w:tcW w:type="dxa" w:w="875"/>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top"/>
          </w:tcPr>
          <w:p>
            <w:pPr>
              <w:pStyle w:val="Normal (Web)"/>
              <w:spacing w:before="0" w:after="0" w:line="480" w:lineRule="auto"/>
              <w:jc w:val="both"/>
            </w:pPr>
            <w:r>
              <w:rPr>
                <w:rtl w:val="0"/>
                <w:lang w:val="en-US"/>
              </w:rPr>
              <w:t>14,694</w:t>
            </w:r>
          </w:p>
        </w:tc>
      </w:tr>
      <w:tr>
        <w:tblPrEx>
          <w:shd w:val="clear" w:color="auto" w:fill="d0ddef"/>
        </w:tblPrEx>
        <w:trPr>
          <w:trHeight w:val="300" w:hRule="atLeast"/>
        </w:trPr>
        <w:tc>
          <w:tcPr>
            <w:tcW w:type="dxa" w:w="3049"/>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top"/>
          </w:tcPr>
          <w:p>
            <w:pPr>
              <w:pStyle w:val="Normal (Web)"/>
              <w:spacing w:before="0" w:after="0" w:line="480" w:lineRule="auto"/>
              <w:jc w:val="both"/>
            </w:pPr>
            <w:r>
              <w:rPr>
                <w:i w:val="1"/>
                <w:iCs w:val="1"/>
                <w:rtl w:val="0"/>
                <w:lang w:val="en-US"/>
              </w:rPr>
              <w:t xml:space="preserve">Dividends </w:t>
            </w:r>
          </w:p>
        </w:tc>
        <w:tc>
          <w:tcPr>
            <w:tcW w:type="dxa" w:w="876"/>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top"/>
          </w:tcPr>
          <w:p>
            <w:pPr>
              <w:pStyle w:val="Normal (Web)"/>
              <w:spacing w:before="0" w:after="0" w:line="480" w:lineRule="auto"/>
              <w:jc w:val="both"/>
            </w:pPr>
            <w:r>
              <w:rPr>
                <w:rtl w:val="0"/>
                <w:lang w:val="en-US"/>
              </w:rPr>
              <w:t>1.46</w:t>
            </w:r>
          </w:p>
        </w:tc>
        <w:tc>
          <w:tcPr>
            <w:tcW w:type="dxa" w:w="876"/>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top"/>
          </w:tcPr>
          <w:p>
            <w:pPr>
              <w:pStyle w:val="Normal (Web)"/>
              <w:spacing w:before="0" w:after="0" w:line="480" w:lineRule="auto"/>
              <w:jc w:val="both"/>
            </w:pPr>
            <w:r>
              <w:rPr>
                <w:rtl w:val="0"/>
                <w:lang w:val="en-US"/>
              </w:rPr>
              <w:t>1.59</w:t>
            </w:r>
          </w:p>
        </w:tc>
        <w:tc>
          <w:tcPr>
            <w:tcW w:type="dxa" w:w="876"/>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top"/>
          </w:tcPr>
          <w:p>
            <w:pPr>
              <w:pStyle w:val="Normal (Web)"/>
              <w:spacing w:before="0" w:after="0" w:line="480" w:lineRule="auto"/>
              <w:jc w:val="both"/>
            </w:pPr>
            <w:r>
              <w:rPr>
                <w:rtl w:val="0"/>
                <w:lang w:val="en-US"/>
              </w:rPr>
              <w:t>1.88</w:t>
            </w:r>
          </w:p>
        </w:tc>
        <w:tc>
          <w:tcPr>
            <w:tcW w:type="dxa" w:w="876"/>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top"/>
          </w:tcPr>
          <w:p>
            <w:pPr>
              <w:pStyle w:val="Normal (Web)"/>
              <w:spacing w:before="0" w:after="0" w:line="480" w:lineRule="auto"/>
              <w:jc w:val="both"/>
            </w:pPr>
            <w:r>
              <w:rPr>
                <w:rtl w:val="0"/>
                <w:lang w:val="en-US"/>
              </w:rPr>
              <w:t>1.92</w:t>
            </w:r>
          </w:p>
        </w:tc>
        <w:tc>
          <w:tcPr>
            <w:tcW w:type="dxa" w:w="875"/>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f2f2f2"/>
            <w:tcMar>
              <w:top w:type="dxa" w:w="80"/>
              <w:left w:type="dxa" w:w="80"/>
              <w:bottom w:type="dxa" w:w="80"/>
              <w:right w:type="dxa" w:w="80"/>
            </w:tcMar>
            <w:vAlign w:val="top"/>
          </w:tcPr>
          <w:p>
            <w:pPr>
              <w:pStyle w:val="Normal (Web)"/>
              <w:spacing w:before="0" w:after="0" w:line="480" w:lineRule="auto"/>
              <w:jc w:val="both"/>
            </w:pPr>
            <w:r>
              <w:rPr>
                <w:rtl w:val="0"/>
                <w:lang w:val="en-US"/>
              </w:rPr>
              <w:t>1.96</w:t>
            </w:r>
          </w:p>
        </w:tc>
      </w:tr>
      <w:tr>
        <w:tblPrEx>
          <w:shd w:val="clear" w:color="auto" w:fill="d0ddef"/>
        </w:tblPrEx>
        <w:trPr>
          <w:trHeight w:val="300" w:hRule="atLeast"/>
        </w:trPr>
        <w:tc>
          <w:tcPr>
            <w:tcW w:type="dxa" w:w="3049"/>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top"/>
          </w:tcPr>
          <w:p>
            <w:pPr>
              <w:pStyle w:val="Normal (Web)"/>
              <w:spacing w:before="0" w:after="0" w:line="480" w:lineRule="auto"/>
              <w:jc w:val="both"/>
            </w:pPr>
            <w:r>
              <w:rPr>
                <w:i w:val="1"/>
                <w:iCs w:val="1"/>
                <w:rtl w:val="0"/>
                <w:lang w:val="en-US"/>
              </w:rPr>
              <w:t>Cash Flow (USD Mil)</w:t>
            </w:r>
          </w:p>
        </w:tc>
        <w:tc>
          <w:tcPr>
            <w:tcW w:type="dxa" w:w="876"/>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top"/>
          </w:tcPr>
          <w:p>
            <w:pPr>
              <w:pStyle w:val="Normal (Web)"/>
              <w:spacing w:before="0" w:after="0" w:line="480" w:lineRule="auto"/>
              <w:jc w:val="both"/>
            </w:pPr>
            <w:r>
              <w:rPr>
                <w:rtl w:val="0"/>
                <w:lang w:val="en-US"/>
              </w:rPr>
              <w:t>24,255</w:t>
            </w:r>
          </w:p>
        </w:tc>
        <w:tc>
          <w:tcPr>
            <w:tcW w:type="dxa" w:w="876"/>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top"/>
          </w:tcPr>
          <w:p>
            <w:pPr>
              <w:pStyle w:val="Normal (Web)"/>
              <w:spacing w:before="0" w:after="0" w:line="480" w:lineRule="auto"/>
              <w:jc w:val="both"/>
            </w:pPr>
            <w:r>
              <w:rPr>
                <w:rtl w:val="0"/>
                <w:lang w:val="en-US"/>
              </w:rPr>
              <w:t>25,591</w:t>
            </w:r>
          </w:p>
        </w:tc>
        <w:tc>
          <w:tcPr>
            <w:tcW w:type="dxa" w:w="876"/>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top"/>
          </w:tcPr>
          <w:p>
            <w:pPr>
              <w:pStyle w:val="Normal (Web)"/>
              <w:spacing w:before="0" w:after="0" w:line="480" w:lineRule="auto"/>
              <w:jc w:val="both"/>
            </w:pPr>
            <w:r>
              <w:rPr>
                <w:rtl w:val="0"/>
                <w:lang w:val="en-US"/>
              </w:rPr>
              <w:t>23,257</w:t>
            </w:r>
          </w:p>
        </w:tc>
        <w:tc>
          <w:tcPr>
            <w:tcW w:type="dxa" w:w="876"/>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top"/>
          </w:tcPr>
          <w:p>
            <w:pPr>
              <w:pStyle w:val="Normal (Web)"/>
              <w:spacing w:before="0" w:after="0" w:line="480" w:lineRule="auto"/>
              <w:jc w:val="both"/>
            </w:pPr>
            <w:r>
              <w:rPr>
                <w:rtl w:val="0"/>
                <w:lang w:val="en-US"/>
              </w:rPr>
              <w:t>28,564</w:t>
            </w:r>
          </w:p>
        </w:tc>
        <w:tc>
          <w:tcPr>
            <w:tcW w:type="dxa" w:w="875"/>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top"/>
          </w:tcPr>
          <w:p>
            <w:pPr>
              <w:pStyle w:val="Normal (Web)"/>
              <w:spacing w:before="0" w:after="0" w:line="480" w:lineRule="auto"/>
              <w:jc w:val="both"/>
            </w:pPr>
            <w:r>
              <w:rPr>
                <w:rtl w:val="0"/>
                <w:lang w:val="en-US"/>
              </w:rPr>
              <w:t>27,389</w:t>
            </w:r>
          </w:p>
        </w:tc>
      </w:tr>
    </w:tbl>
    <w:p>
      <w:pPr>
        <w:pStyle w:val="Normal (Web)"/>
        <w:widowControl w:val="0"/>
        <w:spacing w:before="0" w:after="0"/>
        <w:jc w:val="both"/>
        <w:rPr>
          <w:color w:val="000000"/>
          <w:u w:color="000000"/>
        </w:rPr>
      </w:pPr>
    </w:p>
    <w:p>
      <w:pPr>
        <w:pStyle w:val="Normal (Web)"/>
        <w:spacing w:before="0" w:after="0" w:line="480" w:lineRule="auto"/>
        <w:jc w:val="both"/>
        <w:rPr>
          <w:color w:val="000000"/>
          <w:u w:color="000000"/>
        </w:rPr>
      </w:pPr>
    </w:p>
    <w:p>
      <w:pPr>
        <w:pStyle w:val="Normal (Web)"/>
        <w:spacing w:before="0" w:after="0" w:line="480" w:lineRule="auto"/>
        <w:jc w:val="both"/>
        <w:rPr>
          <w:color w:val="000000"/>
          <w:u w:color="000000"/>
        </w:rPr>
      </w:pPr>
      <w:r>
        <w:rPr>
          <w:color w:val="000000"/>
          <w:u w:color="000000"/>
          <w:rtl w:val="0"/>
        </w:rPr>
        <w:tab/>
        <w:t>Based on the above financial health and performance, Walmart</w:t>
      </w:r>
      <w:r>
        <w:rPr>
          <w:color w:val="000000"/>
          <w:u w:color="000000"/>
          <w:rtl w:val="0"/>
          <w:lang w:val="en-US"/>
        </w:rPr>
        <w:t>’</w:t>
      </w:r>
      <w:r>
        <w:rPr>
          <w:color w:val="000000"/>
          <w:u w:color="000000"/>
          <w:rtl w:val="0"/>
          <w:lang w:val="en-US"/>
        </w:rPr>
        <w:t>s net revenue, gross margin, dividends and cash flow are expected to increase in the next three years, while operating income and the net profit are expected to deteriorate further. The projection that Walmart</w:t>
      </w:r>
      <w:r>
        <w:rPr>
          <w:color w:val="000000"/>
          <w:u w:color="000000"/>
          <w:rtl w:val="0"/>
          <w:lang w:val="en-US"/>
        </w:rPr>
        <w:t>’</w:t>
      </w:r>
      <w:r>
        <w:rPr>
          <w:color w:val="000000"/>
          <w:u w:color="000000"/>
          <w:rtl w:val="0"/>
          <w:lang w:val="en-US"/>
        </w:rPr>
        <w:t>s net profit will decline further is based on the assumption that the company will have to increase their marketing expenses in order to counteract competition which is increasingly becoming stiffer. On the other hand, the company</w:t>
      </w:r>
      <w:r>
        <w:rPr>
          <w:color w:val="000000"/>
          <w:u w:color="000000"/>
          <w:rtl w:val="0"/>
          <w:lang w:val="en-US"/>
        </w:rPr>
        <w:t>’</w:t>
      </w:r>
      <w:r>
        <w:rPr>
          <w:color w:val="000000"/>
          <w:u w:color="000000"/>
          <w:rtl w:val="0"/>
          <w:lang w:val="en-US"/>
        </w:rPr>
        <w:t xml:space="preserve">s revenue earnings will potentially increase because the company has shifted its focus to e-commerce, which will allow it to seize the opportunity for the increasing online customers.     </w:t>
      </w:r>
    </w:p>
    <w:p>
      <w:pPr>
        <w:pStyle w:val="Normal (Web)"/>
        <w:spacing w:line="480" w:lineRule="auto"/>
        <w:ind w:firstLine="720"/>
        <w:rPr>
          <w:b w:val="1"/>
          <w:bCs w:val="1"/>
          <w:color w:val="000000"/>
          <w:u w:color="000000"/>
        </w:rPr>
      </w:pPr>
    </w:p>
    <w:p>
      <w:pPr>
        <w:pStyle w:val="Normal (Web)"/>
        <w:spacing w:line="480" w:lineRule="auto"/>
        <w:ind w:firstLine="720"/>
        <w:rPr>
          <w:b w:val="1"/>
          <w:bCs w:val="1"/>
          <w:color w:val="000000"/>
          <w:u w:color="000000"/>
        </w:rPr>
      </w:pPr>
    </w:p>
    <w:p>
      <w:pPr>
        <w:pStyle w:val="Normal (Web)"/>
        <w:spacing w:line="480" w:lineRule="auto"/>
        <w:ind w:firstLine="720"/>
        <w:rPr>
          <w:b w:val="1"/>
          <w:bCs w:val="1"/>
          <w:color w:val="000000"/>
          <w:u w:color="000000"/>
        </w:rPr>
      </w:pPr>
    </w:p>
    <w:p>
      <w:pPr>
        <w:pStyle w:val="Normal (Web)"/>
        <w:spacing w:line="480" w:lineRule="auto"/>
        <w:ind w:firstLine="720"/>
        <w:rPr>
          <w:b w:val="1"/>
          <w:bCs w:val="1"/>
          <w:color w:val="000000"/>
          <w:u w:color="000000"/>
        </w:rPr>
      </w:pPr>
    </w:p>
    <w:p>
      <w:pPr>
        <w:pStyle w:val="Normal (Web)"/>
        <w:spacing w:line="480" w:lineRule="auto"/>
        <w:ind w:firstLine="720"/>
        <w:rPr>
          <w:b w:val="1"/>
          <w:bCs w:val="1"/>
          <w:color w:val="000000"/>
          <w:u w:color="000000"/>
        </w:rPr>
      </w:pPr>
    </w:p>
    <w:p>
      <w:pPr>
        <w:pStyle w:val="Normal (Web)"/>
        <w:spacing w:line="480" w:lineRule="auto"/>
        <w:ind w:firstLine="720"/>
        <w:rPr>
          <w:b w:val="1"/>
          <w:bCs w:val="1"/>
          <w:color w:val="000000"/>
          <w:u w:color="000000"/>
        </w:rPr>
      </w:pPr>
    </w:p>
    <w:p>
      <w:pPr>
        <w:pStyle w:val="Normal (Web)"/>
        <w:spacing w:before="0" w:after="0" w:line="480" w:lineRule="auto"/>
        <w:jc w:val="both"/>
        <w:rPr>
          <w:color w:val="000000"/>
          <w:u w:color="000000"/>
        </w:rPr>
      </w:pPr>
      <w:r>
        <w:rPr>
          <w:color w:val="000000"/>
          <w:u w:color="000000"/>
          <w:rtl w:val="0"/>
        </w:rPr>
        <w:tab/>
        <w:t xml:space="preserve"> </w:t>
      </w:r>
    </w:p>
    <w:p>
      <w:pPr>
        <w:pStyle w:val="Normal (Web)"/>
        <w:spacing w:before="0" w:after="0" w:line="480" w:lineRule="auto"/>
        <w:rPr>
          <w:color w:val="000000"/>
          <w:u w:color="000000"/>
        </w:rPr>
      </w:pPr>
      <w:r>
        <w:rPr>
          <w:color w:val="000000"/>
          <w:u w:color="000000"/>
        </w:rPr>
        <w:tab/>
      </w:r>
    </w:p>
    <w:p>
      <w:pPr>
        <w:pStyle w:val="Normal (Web)"/>
        <w:spacing w:before="0" w:after="0" w:line="480" w:lineRule="auto"/>
        <w:rPr>
          <w:color w:val="000000"/>
          <w:u w:color="000000"/>
        </w:rPr>
      </w:pPr>
      <w:r>
        <w:rPr>
          <w:color w:val="000000"/>
          <w:u w:color="000000"/>
        </w:rPr>
        <w:tab/>
      </w:r>
    </w:p>
    <w:p>
      <w:pPr>
        <w:pStyle w:val="Normal (Web)"/>
        <w:spacing w:before="0" w:after="0" w:line="480" w:lineRule="auto"/>
        <w:rPr>
          <w:color w:val="000000"/>
          <w:u w:color="000000"/>
        </w:rPr>
      </w:pPr>
      <w:r>
        <w:rPr>
          <w:color w:val="000000"/>
          <w:u w:color="000000"/>
        </w:rPr>
        <w:tab/>
      </w:r>
    </w:p>
    <w:p>
      <w:pPr>
        <w:pStyle w:val="Normal (Web)"/>
        <w:spacing w:before="0" w:after="0" w:line="480" w:lineRule="auto"/>
        <w:rPr>
          <w:color w:val="000000"/>
          <w:u w:color="000000"/>
        </w:rPr>
      </w:pPr>
    </w:p>
    <w:p>
      <w:pPr>
        <w:pStyle w:val="Normal (Web)"/>
        <w:spacing w:before="0" w:after="0" w:line="480" w:lineRule="auto"/>
        <w:rPr>
          <w:color w:val="000000"/>
          <w:u w:color="000000"/>
        </w:rPr>
      </w:pPr>
    </w:p>
    <w:p>
      <w:pPr>
        <w:pStyle w:val="Normal (Web)"/>
        <w:spacing w:before="0" w:after="0" w:line="480" w:lineRule="auto"/>
        <w:rPr>
          <w:color w:val="000000"/>
          <w:u w:color="000000"/>
        </w:rPr>
      </w:pPr>
    </w:p>
    <w:p>
      <w:pPr>
        <w:pStyle w:val="Normal (Web)"/>
        <w:spacing w:before="0" w:after="0" w:line="480" w:lineRule="auto"/>
        <w:rPr>
          <w:color w:val="000000"/>
          <w:u w:color="000000"/>
        </w:rPr>
      </w:pPr>
    </w:p>
    <w:p>
      <w:pPr>
        <w:pStyle w:val="Normal (Web)"/>
        <w:spacing w:before="0" w:after="0" w:line="480" w:lineRule="auto"/>
        <w:rPr>
          <w:color w:val="000000"/>
          <w:u w:color="000000"/>
        </w:rPr>
      </w:pPr>
    </w:p>
    <w:p>
      <w:pPr>
        <w:pStyle w:val="Normal (Web)"/>
        <w:spacing w:before="0" w:after="0" w:line="480" w:lineRule="auto"/>
        <w:jc w:val="center"/>
        <w:rPr>
          <w:color w:val="000000"/>
          <w:u w:color="000000"/>
        </w:rPr>
      </w:pPr>
      <w:r>
        <w:rPr>
          <w:color w:val="000000"/>
          <w:u w:color="000000"/>
          <w:rtl w:val="0"/>
          <w:lang w:val="en-US"/>
        </w:rPr>
        <w:t>References</w:t>
      </w:r>
    </w:p>
    <w:p>
      <w:pPr>
        <w:pStyle w:val="Normal (Web)"/>
        <w:spacing w:before="0" w:after="0" w:line="480" w:lineRule="auto"/>
        <w:rPr>
          <w:color w:val="000000"/>
          <w:u w:color="000000"/>
        </w:rPr>
      </w:pPr>
      <w:r>
        <w:rPr>
          <w:color w:val="000000"/>
          <w:u w:color="000000"/>
          <w:rtl w:val="0"/>
          <w:lang w:val="en-US"/>
        </w:rPr>
        <w:t>Myerson, P. (2012).</w:t>
      </w:r>
      <w:r>
        <w:rPr>
          <w:color w:val="000000"/>
          <w:u w:color="000000"/>
          <w:rtl w:val="0"/>
          <w:lang w:val="en-US"/>
        </w:rPr>
        <w:t> </w:t>
      </w:r>
      <w:r>
        <w:rPr>
          <w:i w:val="1"/>
          <w:iCs w:val="1"/>
          <w:color w:val="000000"/>
          <w:u w:color="000000"/>
          <w:rtl w:val="0"/>
          <w:lang w:val="en-US"/>
        </w:rPr>
        <w:t>Lean supply chain and logistics management</w:t>
      </w:r>
      <w:r>
        <w:rPr>
          <w:color w:val="000000"/>
          <w:u w:color="000000"/>
          <w:rtl w:val="0"/>
          <w:lang w:val="en-US"/>
        </w:rPr>
        <w:t>. Colombus: McGraw-Hill.</w:t>
      </w:r>
    </w:p>
    <w:p>
      <w:pPr>
        <w:pStyle w:val="Normal (Web)"/>
        <w:spacing w:before="0" w:after="0" w:line="480" w:lineRule="auto"/>
        <w:rPr>
          <w:color w:val="000000"/>
          <w:u w:color="000000"/>
        </w:rPr>
      </w:pPr>
      <w:r>
        <w:rPr>
          <w:color w:val="000000"/>
          <w:u w:color="000000"/>
          <w:rtl w:val="0"/>
        </w:rPr>
        <w:tab/>
        <w:t>Valentin, E. K. (2001). SWOT analysis from a resource-based view.</w:t>
      </w:r>
      <w:r>
        <w:rPr>
          <w:color w:val="000000"/>
          <w:u w:color="000000"/>
          <w:rtl w:val="0"/>
          <w:lang w:val="en-US"/>
        </w:rPr>
        <w:t> </w:t>
      </w:r>
      <w:r>
        <w:rPr>
          <w:i w:val="1"/>
          <w:iCs w:val="1"/>
          <w:color w:val="000000"/>
          <w:u w:color="000000"/>
          <w:rtl w:val="0"/>
          <w:lang w:val="en-US"/>
        </w:rPr>
        <w:t xml:space="preserve">Journal of </w:t>
        <w:tab/>
        <w:t>Marketing theory and Practice</w:t>
      </w:r>
      <w:r>
        <w:rPr>
          <w:color w:val="000000"/>
          <w:u w:color="000000"/>
          <w:rtl w:val="0"/>
          <w:lang w:val="en-US"/>
        </w:rPr>
        <w:t>,</w:t>
      </w:r>
      <w:r>
        <w:rPr>
          <w:color w:val="000000"/>
          <w:u w:color="000000"/>
          <w:rtl w:val="0"/>
          <w:lang w:val="en-US"/>
        </w:rPr>
        <w:t> </w:t>
      </w:r>
      <w:r>
        <w:rPr>
          <w:i w:val="1"/>
          <w:iCs w:val="1"/>
          <w:color w:val="000000"/>
          <w:u w:color="000000"/>
          <w:rtl w:val="0"/>
          <w:lang w:val="en-US"/>
        </w:rPr>
        <w:t>9</w:t>
      </w:r>
      <w:r>
        <w:rPr>
          <w:color w:val="000000"/>
          <w:u w:color="000000"/>
          <w:rtl w:val="0"/>
          <w:lang w:val="en-US"/>
        </w:rPr>
        <w:t>(2), 54-69.</w:t>
      </w:r>
    </w:p>
    <w:p>
      <w:pPr>
        <w:pStyle w:val="Normal (Web)"/>
        <w:spacing w:before="0" w:after="0" w:line="480" w:lineRule="auto"/>
      </w:pPr>
      <w:r>
        <w:rPr>
          <w:color w:val="000000"/>
          <w:u w:color="000000"/>
          <w:shd w:val="clear" w:color="auto" w:fill="ffffff"/>
          <w:rtl w:val="0"/>
          <w:lang w:val="en-US"/>
        </w:rPr>
        <w:t xml:space="preserve">Walmart. (2016). Walmart strategy drives growth and sustainable returns, Plans $20 billion share </w:t>
        <w:tab/>
        <w:t>repurchase program over two years. Retrieved</w:t>
      </w:r>
      <w:r>
        <w:rPr>
          <w:color w:val="000000"/>
          <w:u w:color="000000"/>
          <w:shd w:val="clear" w:color="auto" w:fill="ffffff"/>
          <w:rtl w:val="0"/>
          <w:lang w:val="en-US"/>
        </w:rPr>
        <w:t> </w:t>
      </w:r>
      <w:r>
        <w:rPr>
          <w:color w:val="000000"/>
          <w:u w:color="000000"/>
          <w:shd w:val="clear" w:color="auto" w:fill="ffffff"/>
          <w:rtl w:val="0"/>
          <w:lang w:val="en-US"/>
        </w:rPr>
        <w:t>May</w:t>
      </w:r>
      <w:r>
        <w:rPr>
          <w:color w:val="000000"/>
          <w:u w:color="000000"/>
          <w:shd w:val="clear" w:color="auto" w:fill="ffffff"/>
          <w:rtl w:val="0"/>
          <w:lang w:val="en-US"/>
        </w:rPr>
        <w:t> </w:t>
      </w:r>
      <w:r>
        <w:rPr>
          <w:color w:val="000000"/>
          <w:u w:color="000000"/>
          <w:shd w:val="clear" w:color="auto" w:fill="ffffff"/>
          <w:rtl w:val="0"/>
          <w:lang w:val="en-US"/>
        </w:rPr>
        <w:t xml:space="preserve">8, 2017, from </w:t>
        <w:tab/>
      </w:r>
      <w:r>
        <w:rPr>
          <w:rStyle w:val="Hyperlink.0"/>
        </w:rPr>
        <w:fldChar w:fldCharType="begin" w:fldLock="0"/>
      </w:r>
      <w:r>
        <w:rPr>
          <w:rStyle w:val="Hyperlink.0"/>
        </w:rPr>
        <w:instrText xml:space="preserve"> HYPERLINK "http://news.walmart.com/news-archive/2015/10/14/walmart-strategy-drives-growth-and-"</w:instrText>
      </w:r>
      <w:r>
        <w:rPr>
          <w:rStyle w:val="Hyperlink.0"/>
        </w:rPr>
        <w:fldChar w:fldCharType="separate" w:fldLock="0"/>
      </w:r>
      <w:r>
        <w:rPr>
          <w:rStyle w:val="Hyperlink.0"/>
          <w:rtl w:val="0"/>
          <w:lang w:val="en-US"/>
        </w:rPr>
        <w:t>http://news.walmart.com/news-archive/2015/10/14/walmart-strategy-drives-growth-and-</w:t>
      </w:r>
      <w:r>
        <w:rPr/>
        <w:fldChar w:fldCharType="end" w:fldLock="0"/>
      </w:r>
      <w:r>
        <w:rPr>
          <w:color w:val="000000"/>
          <w:u w:color="000000"/>
          <w:shd w:val="clear" w:color="auto" w:fill="ffffff"/>
          <w:rtl w:val="0"/>
        </w:rPr>
        <w:tab/>
        <w:t>sustainable-returns-plans-20-billion-share-repurchase-program-over-two-years</w:t>
      </w:r>
    </w:p>
    <w:sectPr>
      <w:headerReference w:type="default" r:id="rId5"/>
      <w:headerReference w:type="first" r:id="rId6"/>
      <w:footerReference w:type="default" r:id="rId7"/>
      <w:footerReference w:type="first" r:id="rId8"/>
      <w:pgSz w:w="12240" w:h="15840" w:orient="portrait"/>
      <w:pgMar w:top="1440" w:right="1440" w:bottom="1440" w:left="1440"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right" w:pos="9340"/>
        <w:tab w:val="clear" w:pos="9360"/>
      </w:tabs>
    </w:pPr>
    <w:r>
      <w:rPr>
        <w:color w:val="000000"/>
        <w:u w:color="000000"/>
        <w:rtl w:val="0"/>
        <w:lang w:val="en-US"/>
      </w:rPr>
      <w:t>WALMART STRATEGIC PRIORITIES AND BEHAVIOR</w:t>
      <w:tab/>
      <w:t xml:space="preserve">      </w:t>
    </w:r>
    <w:r>
      <w:rPr>
        <w:rtl w:val="0"/>
        <w:lang w:val="en-US"/>
      </w:rPr>
      <w:t xml:space="preserve">                                      </w:t>
    </w:r>
    <w:r>
      <w:rPr/>
      <w:fldChar w:fldCharType="begin" w:fldLock="0"/>
    </w:r>
    <w:r>
      <w:instrText xml:space="preserve"> PAGE </w:instrText>
    </w:r>
    <w:r>
      <w:rPr/>
      <w:fldChar w:fldCharType="separate" w:fldLock="0"/>
    </w:r>
    <w:r>
      <w:t>6</w:t>
    </w:r>
    <w:r>
      <w:rPr/>
      <w:fldChar w:fldCharType="end" w:fldLock="0"/>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right" w:pos="9340"/>
        <w:tab w:val="clear" w:pos="9360"/>
      </w:tabs>
    </w:pPr>
    <w:r>
      <w:rPr>
        <w:rtl w:val="0"/>
        <w:lang w:val="en-US"/>
      </w:rPr>
      <w:t xml:space="preserve">Running head: </w:t>
    </w:r>
    <w:r>
      <w:rPr>
        <w:color w:val="000000"/>
        <w:u w:color="000000"/>
        <w:rtl w:val="0"/>
        <w:lang w:val="en-US"/>
      </w:rPr>
      <w:t>WALMART STRATEGIC PRIORITIES AND BEHAVIOR</w:t>
      <w:tab/>
    </w:r>
    <w:r>
      <w:rPr>
        <w:rtl w:val="0"/>
        <w:lang w:val="en-US"/>
      </w:rPr>
      <w:t xml:space="preserve">               1</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Link">
    <w:name w:val="Link"/>
    <w:rPr>
      <w:color w:val="0563c1"/>
      <w:u w:val="single" w:color="0563c1"/>
    </w:rPr>
  </w:style>
  <w:style w:type="character" w:styleId="Hyperlink.0">
    <w:name w:val="Hyperlink.0"/>
    <w:basedOn w:val="Link"/>
    <w:next w:val="Hyperlink.0"/>
    <w:rPr>
      <w:shd w:val="clear" w:color="auto" w:fill="ffffff"/>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chart" Target="charts/chart1.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theme" Target="theme/theme1.xml"/></Relationships>

</file>

<file path=word/charts/_rels/chart1.xml.rels><?xml version="1.0" encoding="UTF-8" standalone="yes"?><Relationships xmlns="http://schemas.openxmlformats.org/package/2006/relationships"><Relationship Id="rId1" Type="http://schemas.openxmlformats.org/officeDocument/2006/relationships/package" Target="../embeddings/Microsoft_Excel_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roundedCorners val="0"/>
  <c:chart>
    <c:title>
      <c:tx>
        <c:rich>
          <a:bodyPr rot="0"/>
          <a:lstStyle/>
          <a:p>
            <a:pPr>
              <a:defRPr b="0" i="0" strike="noStrike" sz="1400" u="none">
                <a:solidFill>
                  <a:srgbClr val="808080"/>
                </a:solidFill>
                <a:latin typeface="+mn-lt"/>
              </a:defRPr>
            </a:pPr>
            <a:r>
              <a:rPr b="0" i="0" strike="noStrike" sz="1400" u="none">
                <a:solidFill>
                  <a:srgbClr val="808080"/>
                </a:solidFill>
                <a:latin typeface="+mn-lt"/>
              </a:rPr>
              <a:t>Walmart Net Revenue Since 2006</a:t>
            </a:r>
          </a:p>
        </c:rich>
      </c:tx>
      <c:layout>
        <c:manualLayout>
          <c:xMode val="edge"/>
          <c:yMode val="edge"/>
          <c:x val="0.211645"/>
          <c:y val="0"/>
          <c:w val="0.57671"/>
          <c:h val="0.140693"/>
        </c:manualLayout>
      </c:layout>
      <c:overlay val="1"/>
      <c:spPr>
        <a:noFill/>
        <a:effectLst/>
      </c:spPr>
    </c:title>
    <c:autoTitleDeleted val="1"/>
    <c:plotArea>
      <c:layout>
        <c:manualLayout>
          <c:layoutTarget val="inner"/>
          <c:xMode val="edge"/>
          <c:yMode val="edge"/>
          <c:x val="0.110302"/>
          <c:y val="0.140693"/>
          <c:w val="0.884698"/>
          <c:h val="0.691367"/>
        </c:manualLayout>
      </c:layout>
      <c:lineChart>
        <c:grouping val="standard"/>
        <c:varyColors val="0"/>
        <c:ser>
          <c:idx val="0"/>
          <c:order val="0"/>
          <c:tx>
            <c:strRef>
              <c:f>Sheet1!$B$1</c:f>
              <c:strCache>
                <c:ptCount val="1"/>
                <c:pt idx="0">
                  <c:v>Series1</c:v>
                </c:pt>
              </c:strCache>
            </c:strRef>
          </c:tx>
          <c:spPr>
            <a:noFill/>
            <a:ln w="22225" cap="rnd">
              <a:solidFill>
                <a:schemeClr val="accent1"/>
              </a:solidFill>
              <a:prstDash val="solid"/>
              <a:round/>
            </a:ln>
            <a:effectLst/>
          </c:spPr>
          <c:marker>
            <c:symbol val="none"/>
            <c:size val="5"/>
            <c:spPr>
              <a:solidFill>
                <a:srgbClr val="000000">
                  <a:alpha val="0"/>
                </a:srgbClr>
              </a:solidFill>
              <a:ln w="22225" cap="rnd">
                <a:solidFill>
                  <a:schemeClr val="accent1"/>
                </a:solidFill>
                <a:prstDash val="solid"/>
                <a:round/>
              </a:ln>
              <a:effectLst/>
            </c:spPr>
          </c:marker>
          <c:dLbls>
            <c:numFmt formatCode="0.##" sourceLinked="0"/>
            <c:txPr>
              <a:bodyPr/>
              <a:lstStyle/>
              <a:p>
                <a:pPr>
                  <a:defRPr b="0" i="0" strike="noStrike" sz="1000" u="none">
                    <a:solidFill>
                      <a:srgbClr val="000000"/>
                    </a:solidFill>
                    <a:latin typeface="Verdana"/>
                  </a:defRPr>
                </a:pPr>
              </a:p>
            </c:txPr>
            <c:dLblPos val="t"/>
            <c:showLegendKey val="0"/>
            <c:showVal val="0"/>
            <c:showCatName val="0"/>
            <c:showSerName val="0"/>
            <c:showPercent val="0"/>
            <c:showBubbleSize val="0"/>
            <c:showLeaderLines val="0"/>
          </c:dLbls>
          <c:cat>
            <c:strRef>
              <c:f>Sheet1!$A$2:$A$12</c:f>
              <c:strCache>
                <c:ptCount val="11"/>
                <c:pt idx="0">
                  <c:v>2006</c:v>
                </c:pt>
                <c:pt idx="1">
                  <c:v>2007</c:v>
                </c:pt>
                <c:pt idx="2">
                  <c:v>2008</c:v>
                </c:pt>
                <c:pt idx="3">
                  <c:v>2009</c:v>
                </c:pt>
                <c:pt idx="4">
                  <c:v>2010</c:v>
                </c:pt>
                <c:pt idx="5">
                  <c:v>2011</c:v>
                </c:pt>
                <c:pt idx="6">
                  <c:v>2012</c:v>
                </c:pt>
                <c:pt idx="7">
                  <c:v>2013</c:v>
                </c:pt>
                <c:pt idx="8">
                  <c:v>2014</c:v>
                </c:pt>
                <c:pt idx="9">
                  <c:v>2015</c:v>
                </c:pt>
                <c:pt idx="10">
                  <c:v>2016</c:v>
                </c:pt>
              </c:strCache>
            </c:strRef>
          </c:cat>
          <c:val>
            <c:numRef>
              <c:f>Sheet1!$B$2:$B$12</c:f>
              <c:numCache>
                <c:ptCount val="11"/>
                <c:pt idx="0">
                  <c:v>308.500000</c:v>
                </c:pt>
                <c:pt idx="1">
                  <c:v>344.760000</c:v>
                </c:pt>
                <c:pt idx="2">
                  <c:v>373.820000</c:v>
                </c:pt>
                <c:pt idx="3">
                  <c:v>401.090000</c:v>
                </c:pt>
                <c:pt idx="4">
                  <c:v>404.710000</c:v>
                </c:pt>
                <c:pt idx="5">
                  <c:v>418.500000</c:v>
                </c:pt>
                <c:pt idx="6">
                  <c:v>443.420000</c:v>
                </c:pt>
                <c:pt idx="7">
                  <c:v>465.600000</c:v>
                </c:pt>
                <c:pt idx="8">
                  <c:v>473.080000</c:v>
                </c:pt>
                <c:pt idx="9">
                  <c:v>482.230000</c:v>
                </c:pt>
                <c:pt idx="10">
                  <c:v>478.610000</c:v>
                </c:pt>
              </c:numCache>
            </c:numRef>
          </c:val>
          <c:smooth val="0"/>
        </c:ser>
        <c:marker val="1"/>
        <c:axId val="2094734552"/>
        <c:axId val="2094734553"/>
      </c:lineChart>
      <c:catAx>
        <c:axId val="2094734552"/>
        <c:scaling>
          <c:orientation val="minMax"/>
        </c:scaling>
        <c:delete val="0"/>
        <c:axPos val="b"/>
        <c:title>
          <c:tx>
            <c:rich>
              <a:bodyPr rot="0"/>
              <a:lstStyle/>
              <a:p>
                <a:pPr>
                  <a:defRPr b="0" i="0" strike="noStrike" sz="900" u="none">
                    <a:solidFill>
                      <a:srgbClr val="595959"/>
                    </a:solidFill>
                    <a:latin typeface="+mn-lt"/>
                  </a:defRPr>
                </a:pPr>
                <a:r>
                  <a:rPr b="0" i="0" strike="noStrike" sz="900" u="none">
                    <a:solidFill>
                      <a:srgbClr val="595959"/>
                    </a:solidFill>
                    <a:latin typeface="+mn-lt"/>
                  </a:rPr>
                  <a:t>Fiscal Year</a:t>
                </a:r>
              </a:p>
            </c:rich>
          </c:tx>
          <c:layout/>
          <c:overlay val="1"/>
        </c:title>
        <c:numFmt formatCode="General" sourceLinked="0"/>
        <c:majorTickMark val="none"/>
        <c:minorTickMark val="none"/>
        <c:tickLblPos val="low"/>
        <c:spPr>
          <a:ln w="12700" cap="flat">
            <a:solidFill>
              <a:srgbClr val="D9D9D9"/>
            </a:solidFill>
            <a:prstDash val="solid"/>
            <a:round/>
          </a:ln>
        </c:spPr>
        <c:txPr>
          <a:bodyPr rot="0"/>
          <a:lstStyle/>
          <a:p>
            <a:pPr>
              <a:defRPr b="0" i="0" strike="noStrike" sz="900" u="none">
                <a:solidFill>
                  <a:srgbClr val="595959"/>
                </a:solidFill>
                <a:latin typeface="+mn-lt"/>
              </a:defRPr>
            </a:pPr>
          </a:p>
        </c:txPr>
        <c:crossAx val="2094734553"/>
        <c:crosses val="autoZero"/>
        <c:auto val="1"/>
        <c:lblAlgn val="ctr"/>
        <c:noMultiLvlLbl val="1"/>
      </c:catAx>
      <c:valAx>
        <c:axId val="2094734553"/>
        <c:scaling>
          <c:orientation val="minMax"/>
        </c:scaling>
        <c:delete val="0"/>
        <c:axPos val="l"/>
        <c:title>
          <c:tx>
            <c:rich>
              <a:bodyPr rot="-5400000"/>
              <a:lstStyle/>
              <a:p>
                <a:pPr>
                  <a:defRPr b="0" i="0" strike="noStrike" sz="900" u="none">
                    <a:solidFill>
                      <a:srgbClr val="595959"/>
                    </a:solidFill>
                    <a:latin typeface="+mn-lt"/>
                  </a:defRPr>
                </a:pPr>
                <a:r>
                  <a:rPr b="0" i="0" strike="noStrike" sz="900" u="none">
                    <a:solidFill>
                      <a:srgbClr val="595959"/>
                    </a:solidFill>
                    <a:latin typeface="+mn-lt"/>
                  </a:rPr>
                  <a:t>Amount in Million  USD</a:t>
                </a:r>
              </a:p>
            </c:rich>
          </c:tx>
          <c:layout/>
          <c:overlay val="1"/>
        </c:title>
        <c:numFmt formatCode="0.##" sourceLinked="0"/>
        <c:majorTickMark val="none"/>
        <c:minorTickMark val="none"/>
        <c:tickLblPos val="nextTo"/>
        <c:spPr>
          <a:ln w="12700" cap="flat">
            <a:noFill/>
            <a:prstDash val="solid"/>
            <a:round/>
          </a:ln>
        </c:spPr>
        <c:txPr>
          <a:bodyPr rot="0"/>
          <a:lstStyle/>
          <a:p>
            <a:pPr>
              <a:defRPr b="0" i="0" strike="noStrike" sz="900" u="none">
                <a:solidFill>
                  <a:srgbClr val="595959"/>
                </a:solidFill>
                <a:latin typeface="+mn-lt"/>
              </a:defRPr>
            </a:pPr>
          </a:p>
        </c:txPr>
        <c:crossAx val="2094734552"/>
        <c:crosses val="autoZero"/>
        <c:crossBetween val="between"/>
        <c:majorUnit val="125"/>
        <c:minorUnit val="62.5"/>
      </c:valAx>
      <c:spPr>
        <a:gradFill flip="none" rotWithShape="1">
          <a:gsLst>
            <a:gs pos="0">
              <a:srgbClr val="FFFFFF"/>
            </a:gs>
            <a:gs pos="100000">
              <a:srgbClr val="F2F2F2"/>
            </a:gs>
          </a:gsLst>
          <a:lin ang="5400000" scaled="0"/>
        </a:gradFill>
        <a:ln w="12700" cap="flat">
          <a:noFill/>
          <a:miter lim="400000"/>
        </a:ln>
        <a:effectLst/>
      </c:spPr>
    </c:plotArea>
    <c:plotVisOnly val="1"/>
    <c:dispBlanksAs val="gap"/>
  </c:chart>
  <c:spPr>
    <a:solidFill>
      <a:srgbClr val="FFFFFF"/>
    </a:solidFill>
    <a:ln w="12700" cap="flat">
      <a:solidFill>
        <a:srgbClr val="D9D9D9"/>
      </a:solidFill>
      <a:prstDash val="solid"/>
      <a:round/>
    </a:ln>
    <a:effectLst/>
  </c:spPr>
  <c:externalData r:id="rId1">
    <c:autoUpdate val="0"/>
  </c:externalData>
</c:chartSpace>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